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AwSV — Behördliche Anordnungen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auf Grund der besonderen Umstände des Einzelfalls, insbesondere auf Grund der hydrogeologischen Beschaffenheit und der Schutzbedürftigkeit des Aufstellungsortes, nicht gewährleistet, dass die Anforderungen des § 62 Absatz 1 des Wasserhaushaltsgesetzes erfüllt werden, kann die zuständige Behörde Anforderungen stellen, die über die im Folgenden genannten hinausgehen:</w:t>
      </w:r>
    </w:p>
    <w:p>
      <w:pPr>
        <w:ind w:left="420"/>
      </w:pPr>
      <w:r>
        <w:t xml:space="preserve">1. über die allgemein anerkannten Regeln der Technik,</w:t>
      </w:r>
    </w:p>
    <w:p>
      <w:pPr>
        <w:ind w:left="420"/>
      </w:pPr>
      <w:r>
        <w:t xml:space="preserve">2. über die Anforderungen nach diesem Kapitel oder</w:t>
      </w:r>
    </w:p>
    <w:p>
      <w:pPr>
        <w:ind w:left="420"/>
      </w:pPr>
      <w:r>
        <w:t xml:space="preserve">3. über die Anforderungen, die in einer Eignungsfeststellung oder in einer die Eignungsfeststellung ersetzenden sonstigen Regelung festgelegt sind.</w:t>
      </w:r>
    </w:p>
    <w:p>
      <w:r>
        <w:t xml:space="preserve">Unter den Voraussetzungen nach Satz 1 kann die zuständige Behörde auch die Errichtung einer Anlage untersagen.</w:t>
      </w:r>
    </w:p>
    <w:p>
      <w:r>
        <w:t xml:space="preserve">(2) Die zuständige Behörde kann dem Betreiber Maßnahmen zur Beobachtung der Gewässer und des Bodens auferlegen, soweit dies zur frühzeitigen Erkennung von Verunreinigungen erforderlich ist, die von seiner Anlage ausgehen können.</w:t>
      </w:r>
    </w:p>
    <w:p>
      <w:r>
        <w:t xml:space="preserve">(3) Die zuständige Behörde kann im Einzelfall Ausnahmen von den Anforderungen dieses Kapitels zulassen, wenn die Anforderungen des § 62 Absatz 1 des Wasserhaushaltsgesetzes dennoch erfüllt werden.</w:t>
      </w:r>
    </w:p>
    <w:p>
      <w:r>
        <w:rPr>
          <w:color w:val="555555"/>
          <w:sz w:val="17"/>
        </w:rPr>
        <w:t xml:space="preserve">Zitiervorschlag: § 16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