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AwSV — Technische Regeln</w:t>
      </w:r>
    </w:p>
    <w:p>
      <w:r>
        <w:rPr>
          <w:color w:val="555555"/>
          <w:sz w:val="18"/>
        </w:rPr>
        <w:t xml:space="preserve">Verordnung über Anlagen zum Umgang mit wassergefährdenden Stoffen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Den allgemein anerkannten Regeln der Technik nach § 62 Absatz 2 des Wasserhaushaltsgesetzes entsprechende Regeln (technische Regeln) sind insbesondere die folgenden Regeln:</w:t>
      </w:r>
    </w:p>
    <w:p>
      <w:pPr>
        <w:ind w:left="420"/>
      </w:pPr>
      <w:r>
        <w:t xml:space="preserve">1. technische Regeln wassergefährdender Stoffe der Deutschen Vereinigung für Wasserwirtschaft, Abwasser und Abfall e. V. (DWA),</w:t>
      </w:r>
    </w:p>
    <w:p>
      <w:pPr>
        <w:ind w:left="420"/>
      </w:pPr>
      <w:r>
        <w:t xml:space="preserve">2. technische Regeln, die in der Musterliste der technischen Baubestimmungen oder in der Bauregelliste des Deutschen Instituts für Bautechnik (DIBt) aufgeführt sind, soweit sie den Gewässerschutz betreffen, sowie</w:t>
      </w:r>
    </w:p>
    <w:p>
      <w:pPr>
        <w:ind w:left="420"/>
      </w:pPr>
      <w:r>
        <w:t xml:space="preserve">3. DIN-Normen und EN-Normen, soweit sie den Gewässerschutz betreffen und nicht in der Bauregelliste des Deutschen Instituts für Bautechnik aufgeführt sind.</w:t>
      </w:r>
    </w:p>
    <w:p>
      <w:r>
        <w:t xml:space="preserve">(2) Normen und sonstige Bestimmungen anderer Mitgliedstaaten der Europäischen Union oder anderer Vertragsstaaten des Abkommens über den Europäischen Wirtschaftsraum stehen technischen Regeln nach Absatz 1 gleich, wenn mit ihnen dauerhaft das gleiche Schutzniveau erreicht wird.</w:t>
      </w:r>
    </w:p>
    <w:p>
      <w:r>
        <w:rPr>
          <w:color w:val="555555"/>
          <w:sz w:val="17"/>
        </w:rPr>
        <w:t xml:space="preserve">Zitiervorschlag: § 15 AwSV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https://recht.nulegal.eu/gesetze/AwSV/15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