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AwSV — Kommission zur Bewertung wassergefährdender Stoffe</w:t>
      </w:r>
    </w:p>
    <w:p>
      <w:r>
        <w:rPr>
          <w:color w:val="555555"/>
          <w:sz w:val="18"/>
        </w:rPr>
        <w:t xml:space="preserve">Verordnung über Anlagen zum Umgang mit wassergefährdenden Stoffen</w:t>
      </w:r>
    </w:p>
    <w:p>
      <w:r>
        <w:rPr>
          <w:color w:val="555555"/>
          <w:sz w:val="18"/>
        </w:rPr>
        <w:t xml:space="preserve">Stand: 12.08.2020 (konsolidierte Textfassung, kein amtliches Inkrafttretensdatum)</w:t>
      </w:r>
    </w:p>
    <w:p>
      <w:r>
        <w:t xml:space="preserve">(1) Beim Bundesministerium für Umwelt, Naturschutz und nukleare Sicherheit wird als Beirat eine Kommission zur Bewertung wassergefährdender Stoffe eingerichtet. Sie berät das Bundesministerium für Umwelt, Naturschutz und nukleare Sicherheit und das Umweltbundesamt in Fragen, die die Einstufung betreffen.</w:t>
      </w:r>
    </w:p>
    <w:p>
      <w:r>
        <w:t xml:space="preserve">(2) In die Kommission zur Bewertung wassergefährdender Stoffe sind Vertreterinnen und Vertreter aus den betroffenen Bundes- und Landesbehörden, aus der Wissenschaft sowie von Betreibern von Anlagen zu berufen. Die Kommission soll nicht mehr als zwölf Mitglieder umfassen. Die Mitgliedschaft ist ehrenamtlich. Die Mitglieder der Kommission sind zur Wahrung von Betriebs- und Geschäftsgeheimnissen verpflichtet, die ihnen im Rahmen ihrer Tätigkeit in der Kommission bekannt werden. Die Vertreterinnen und Vertreter von Betreibern in der Kommission sind darüber hinaus verpflichtet, Betriebs- und Geschäftsgeheimnisse, die ihnen im Rahmen ihrer Tätigkeit in der Kommission bekannt werden, nicht für eigene Zwecke, insbesondere für Geschäftszwecke, zu nutzen.</w:t>
      </w:r>
    </w:p>
    <w:p>
      <w:r>
        <w:t xml:space="preserve">(3) Das Bundesministerium für Umwelt, Naturschutz und nukleare Sicherheit beruft die Mitglieder der Kommission zur Bewertung wassergefährdender Stoffe. Die Kommission gibt sich eine Geschäftsordnung und wählt aus ihrer Mitte eine Vorsitzende oder einen Vorsitzenden. Die Geschäftsordnung bedarf der Zustimmung des Bundesministeriums für Umwelt, Naturschutz und nukleare Sicherheit.</w:t>
      </w:r>
    </w:p>
    <w:p>
      <w:r>
        <w:rPr>
          <w:color w:val="555555"/>
          <w:sz w:val="17"/>
        </w:rPr>
        <w:t xml:space="preserve">Zitiervorschlag: § 12 AwSV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https://recht.nulegal.eu/gesetze/AwSV/12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