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AwSV — Einstufung fester Gemische</w:t>
      </w:r>
    </w:p>
    <w:p>
      <w:r>
        <w:rPr>
          <w:color w:val="555555"/>
          <w:sz w:val="18"/>
        </w:rPr>
        <w:t xml:space="preserve">Verordnung über Anlagen zum Umgang mit wassergefährdenden Stoffen</w:t>
      </w:r>
    </w:p>
    <w:p>
      <w:r>
        <w:rPr>
          <w:color w:val="555555"/>
          <w:sz w:val="18"/>
        </w:rPr>
        <w:t xml:space="preserve">Stand: 12.08.2020 (konsolidierte Textfassung, kein amtliches Inkrafttretensdatum)</w:t>
      </w:r>
    </w:p>
    <w:p>
      <w:r>
        <w:t xml:space="preserve">(1) Der Betreiber kann ein festes Gemisch abweichend von § 3 Absatz 2 Satz 1 Nummer 8 als nicht wassergefährdend einstufen, wenn</w:t>
      </w:r>
    </w:p>
    <w:p>
      <w:pPr>
        <w:ind w:left="420"/>
      </w:pPr>
      <w:r>
        <w:t xml:space="preserve">1. das Gemisch nach Anlage 1 Nummer 2.2 als nicht wassergefährdend eingestuft werden kann,</w:t>
      </w:r>
    </w:p>
    <w:p>
      <w:pPr>
        <w:ind w:left="420"/>
      </w:pPr>
      <w:r>
        <w:t xml:space="preserve">2. das Gemisch nach anderen Rechtsvorschriften selbst an hydrogeologisch ungünstigen Standorten und ohne technische Sicherungsmaßnahmen offen eingebaut werden darf oder</w:t>
      </w:r>
    </w:p>
    <w:p>
      <w:pPr>
        <w:ind w:left="420"/>
      </w:pPr>
      <w:r>
        <w:t xml:space="preserve">3. das Gemisch der Einbauklasse Z 0 oder Z 1.1 der Mitteilung 20 der Länderarbeitsgemeinschaft Abfall (LAGA) „Anforderungen an die stoffliche Verwertung von mineralischen Reststoffen/Abfällen – Technische Regeln“, Erich Schmidt-Verlag, Berlin, 2004, die bei der Deutschen Nationalbibliothek archivmäßig gesichert niedergelegt ist und in der Bibliothek des Bundesministeriums für Umwelt, Naturschutz und nukleare Sicherheit eingesehen werden kann, entspricht.</w:t>
      </w:r>
    </w:p>
    <w:p>
      <w:r>
        <w:t xml:space="preserve">(2) Der Betreiber kann ein festes Gemisch abweichend von § 3 Absatz 2 Satz 1 Nummer 8 nach Maßgabe von Anlage 1 Nummer 5 in eine Wassergefährdungsklasse einstufen.</w:t>
      </w:r>
    </w:p>
    <w:p>
      <w:r>
        <w:t xml:space="preserve">(3) Der Betreiber hat die Selbsteinstufung eines festen Gemisches als nicht wassergefährdend oder in eine Wassergefährdungsklasse nach Maßgabe von Anlage 2 Nummer 2 oder Nummer 3 zu dokumentieren und die Dokumentation der zuständigen Behörde im Rahmen der Zulassung der Anlage sowie auf Verlangen der Behörde im Rahmen der Überwachung der Anlage vorzulegen. Der Betreiber hat die Dokumentation und die Selbsteinstufung des Gemisches auf dem aktuellen Stand zu halten. Die zuständige Behörde kann die Dokumentation überprüfen. Sie kann den Betreiber verpflichten, fehlende oder nicht plausible Angaben zu ergänzen oder zu berichtigen.</w:t>
      </w:r>
    </w:p>
    <w:p>
      <w:r>
        <w:t xml:space="preserve">(4) Die zuständige Behörde kann auf Grund der Überprüfung nach Absatz 3 Satz 3 der Selbsteinstufung nach Absatz 1 oder Absatz 2 widersprechen; im Fall des Absatzes 2 kann sie das Gemisch auch in eine abweichende Wassergefährdungsklasse einstufen. Sie kann sich dabei vom Umweltbundesamt beraten lassen. Die Entscheidung ist dem Betreiber schriftlich bekannt zu geben.</w:t>
      </w:r>
    </w:p>
    <w:p>
      <w:r>
        <w:rPr>
          <w:color w:val="555555"/>
          <w:sz w:val="17"/>
        </w:rPr>
        <w:t xml:space="preserve">Zitiervorschlag: § 10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