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AwSV — Zweck; Anwendungsbereich</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Diese Verordnung dient dem Schutz der Gewässer vor nachteiligen Veränderungen ihrer Eigenschaften durch Freisetzungen von wassergefährdenden Stoffen aus Anlagen zum Umgang mit diesen Stoffen.</w:t>
      </w:r>
    </w:p>
    <w:p>
      <w:r>
        <w:t xml:space="preserve">(2) Diese Verordnung findet keine Anwendung auf</w:t>
      </w:r>
    </w:p>
    <w:p>
      <w:pPr>
        <w:ind w:left="420"/>
      </w:pPr>
      <w:r>
        <w:t xml:space="preserve">1. den Umgang mit im Bundesanzeiger veröffentlichten nicht wassergefährdenden Stoffen,</w:t>
      </w:r>
    </w:p>
    <w:p>
      <w:pPr>
        <w:ind w:left="420"/>
      </w:pPr>
      <w:r>
        <w:t xml:space="preserve">2. nicht ortsfeste und nicht ortsfest benutzte Anlagen, in denen mit wassergefährdenden Stoffen umgegangen wird, sowie</w:t>
      </w:r>
    </w:p>
    <w:p>
      <w:pPr>
        <w:ind w:left="420"/>
      </w:pPr>
      <w:r>
        <w:t xml:space="preserve">3. Untergrundspeicher nach § 4 Absatz 9 des Bundesberggesetzes.</w:t>
      </w:r>
    </w:p>
    <w:p>
      <w:r>
        <w:t xml:space="preserve">(3) Diese Verordnung findet auch keine Anwendung auf oberirdische Anlagen mit einem Volumen von nicht mehr als 0,22 Kubikmetern bei flüssigen Stoffen oder mit einer Masse von nicht mehr als 0,2 Tonnen bei gasförmigen und festen Stoffen, wenn sich diese Anlagen außerhalb von Schutzgebieten und festgesetzten oder vorläufig gesicherten Überschwemmungsgebieten befinden. § 62 Absatz 1 und 2 des Wasserhaushaltsgesetzes bleibt unberührt. Anlagen nach Satz 1 bedürfen keiner Eignungsfeststellung nach § 63 Absatz 1 des Wasserhaushaltsgesetzes.</w:t>
      </w:r>
    </w:p>
    <w:p>
      <w:r>
        <w:t xml:space="preserve">(4) Diese Verordnung findet zudem keine Anwendung, wenn der Umfang der wassergefährdenden Stoffe, sofern mit ihnen neben anderen Sachen in einer Anlage umgegangen wird, während der gesamten Betriebsdauer der Anlage unerheblich ist. Auf Antrag des Betreibers stellt die zuständige Behörde fest, ob die Voraussetzung nach Satz 1 erfüllt ist.</w:t>
      </w:r>
    </w:p>
    <w:p>
      <w:r>
        <w:rPr>
          <w:color w:val="555555"/>
          <w:sz w:val="17"/>
        </w:rPr>
        <w:t xml:space="preserve">Zitiervorschlag: § 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