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AvArWahlVO (Nordrhein-Westfalen)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Februar 2015</w:t>
      </w:r>
    </w:p>
    <w:p>
      <w:r>
        <w:t xml:space="preserve">Auf Grund des § 108a Absatz 6 und des § 108b Absatz 6 der Gemeindeordnung für das Land Nordrhein-Westfalen in der Fassung der Bekanntmachung vom 14. Juli 1994 (GV. NRW. S. 666), von denen § 108a Absatz 6 durch Artikel 1 des Gesetzes vom 3. Februar 2015 (GV. NRW. S. 208) geändert und § 108b durch Artikel 1 des Gesetzes vom 3. Februar 2015 (GV. NRW. S. 208) eingefügt worden ist, verordnet das Ministerium für Inneres und Kommunales:</w:t>
      </w:r>
    </w:p>
    <w:p>
      <w:r>
        <w:rPr>
          <w:color w:val="555555"/>
          <w:sz w:val="17"/>
        </w:rPr>
        <w:t xml:space="preserve">Zitiervorschlag: Eingangsformel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