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AvArWahlVO (Nordrhein-Westfalen) — Anfechtung der Wahl</w:t>
      </w:r>
    </w:p>
    <w:p>
      <w:r>
        <w:rPr>
          <w:color w:val="555555"/>
          <w:sz w:val="18"/>
        </w:rPr>
        <w:t xml:space="preserve">Wahlverordnung für Arbeitnehmervertreterinnen und Arbeitnehmervertreter in fakultativen Aufsichtsräten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Anfechtung der Wahl gilt § 11 des Drittelbeteiligungsgesetzes vom 18. Mai 2004 (BGBl. I S. 974) in der jeweils geltenden Fassung entsprechend mit der Maßgabe, dass die Anfechtung nur innerhalb von zwei Wochen nach dem Tag der Bekanntgabe des Wahlergebnisses (§ 20 Absatz 1) zulässig ist.</w:t>
      </w:r>
    </w:p>
    <w:p>
      <w:r>
        <w:rPr>
          <w:color w:val="555555"/>
          <w:sz w:val="17"/>
        </w:rPr>
        <w:t xml:space="preserve">Zitiervorschlag: § 22 AvArWahlVO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https://recht.nulegal.eu/gesetze/AvArWahlVO/22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