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AvArWahlVO (Nordrhein-Westfalen) — Niederschrift des Wahlergebnisses</w:t>
      </w:r>
    </w:p>
    <w:p>
      <w:r>
        <w:rPr>
          <w:color w:val="555555"/>
          <w:sz w:val="18"/>
        </w:rPr>
        <w:t xml:space="preserve">Wahlverordnung für Arbeitnehmervertreterinnen und Arbeitnehmervertreter in fakultativen Aufsichtsräten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Nachdem die Stimmen ausgezählt sind, stellt der Betriebswahlvorstand in einer Niederschrift fest:</w:t>
      </w:r>
    </w:p>
    <w:p>
      <w:r>
        <w:t xml:space="preserve">1. die Zahl der insgesamt abgegebenen Stimmen;</w:t>
      </w:r>
    </w:p>
    <w:p>
      <w:r>
        <w:t xml:space="preserve">2. die Zahl der gültigen Stimmen;</w:t>
      </w:r>
    </w:p>
    <w:p>
      <w:r>
        <w:t xml:space="preserve">3. die Zahl der ungültigen Stimmen;</w:t>
      </w:r>
    </w:p>
    <w:p>
      <w:r>
        <w:t xml:space="preserve">4. die Zahlen der auf die einzelnen Bewerberinnen und Bewerber entfallenden Stimmen;</w:t>
      </w:r>
    </w:p>
    <w:p>
      <w:r>
        <w:t xml:space="preserve">5. die Namen der auf die Vorschlagsliste gewählten Bewerberinnen und Bewerber;</w:t>
      </w:r>
    </w:p>
    <w:p>
      <w:r>
        <w:t xml:space="preserve">6. im Falle des § 108a Absatz 6 Satz 3 der Gemeindeordnung für das Land Nordrhein-Westfalen die Namen der für die einzelnen Bewerberinnen und Bewerber vorgeschlagenen stellvertretenden Mitglieder und</w:t>
      </w:r>
    </w:p>
    <w:p>
      <w:r>
        <w:t xml:space="preserve">7. besondere während der Wahl eingetretene Zwischenfälle oder sonstige Ereignisse.</w:t>
      </w:r>
    </w:p>
    <w:p>
      <w:r>
        <w:rPr>
          <w:color w:val="555555"/>
          <w:sz w:val="17"/>
        </w:rPr>
        <w:t xml:space="preserve">Zitiervorschlag: § 19 AvArWahlVO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https://recht.nulegal.eu/gesetze/AvArWahlVO/19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AvArWahlVO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