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17 AvArWahlVO (Nordrhein-Westfalen) — Öffentliche Stimmauszählung</w:t>
      </w:r>
    </w:p>
    <w:p>
      <w:r>
        <w:rPr>
          <w:color w:val="555555"/>
          <w:sz w:val="18"/>
        </w:rPr>
        <w:t xml:space="preserve">Wahlverordnung für Arbeitnehmervertreterinnen und Arbeitnehmervertreter in fakultativen Aufsichtsräten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Unverzüglich nach Abschluss der Stimmabgabe zählt der Betriebswahlvorstand öffentlich die Stimmen aus.</w:t>
      </w:r>
    </w:p>
    <w:p>
      <w:r>
        <w:t xml:space="preserve">(2) Nach Öffnung der Wahlurne entnimmt der Betriebswahlvorstand die Stimmzettel und zählt die auf jede Bewerberin und jeden Bewerber entfallenden Stimmen zusammen.</w:t>
      </w:r>
    </w:p>
    <w:p>
      <w:r>
        <w:t xml:space="preserve">(3) Bei der Auszählung ist die Gültigkeit der Stimmzettel zu prüfen.</w:t>
      </w:r>
    </w:p>
    <w:p>
      <w:r>
        <w:rPr>
          <w:color w:val="555555"/>
          <w:sz w:val="17"/>
        </w:rPr>
        <w:t xml:space="preserve">Zitiervorschlag: § 17 AvArWahlVO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https://recht.nulegal.eu/gesetze/AvArWahlVO/17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17 AvArWahlVO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