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AutomAusbV — Prüfungsbereiche von Teil 1</w:t>
      </w:r>
    </w:p>
    <w:p>
      <w:r>
        <w:rPr>
          <w:color w:val="555555"/>
          <w:sz w:val="18"/>
        </w:rPr>
        <w:t xml:space="preserve">Automatenfachmannausbildungsverordnung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Teil 1 der Abschlussprüfung findet in den folgenden Prüfungsbereichen statt:</w:t>
      </w:r>
    </w:p>
    <w:p>
      <w:pPr>
        <w:ind w:left="420"/>
      </w:pPr>
      <w:r>
        <w:t xml:space="preserve">1. Automatenbetreuung und</w:t>
      </w:r>
    </w:p>
    <w:p>
      <w:pPr>
        <w:ind w:left="420"/>
      </w:pPr>
      <w:r>
        <w:t xml:space="preserve">2. Automatenbewirtschaftung.</w:t>
      </w:r>
    </w:p>
    <w:p>
      <w:r>
        <w:rPr>
          <w:color w:val="555555"/>
          <w:sz w:val="17"/>
        </w:rPr>
        <w:t xml:space="preserve">Zitiervorschlag: § 9 AutomAusbV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https://recht.nulegal.eu/gesetze/AutomAusbV/9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