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AutomAusbV — Gegenstand der Berufsausbildung und Ausbildungsrahmenplan</w:t>
      </w:r>
    </w:p>
    <w:p>
      <w:r>
        <w:rPr>
          <w:color w:val="555555"/>
          <w:sz w:val="18"/>
        </w:rPr>
        <w:t xml:space="preserve">Automatenfachmannausbildungsverordnung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AutomAusbV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https://recht.nulegal.eu/gesetze/AutomAusbV/3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