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AutomAusbV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Automatenbetreuung    mit 20 Prozent,</w:t>
      </w:r>
    </w:p>
    <w:p>
      <w:r>
        <w:rPr>
          <w:rFonts w:ascii="Courier New" w:hAnsi="Courier New"/>
          <w:sz w:val="17"/>
        </w:rPr>
        <w:t xml:space="preserve">Automatenbewirtschaftung    mit 10 Prozent,</w:t>
      </w:r>
    </w:p>
    <w:p>
      <w:r>
        <w:rPr>
          <w:rFonts w:ascii="Courier New" w:hAnsi="Courier New"/>
          <w:sz w:val="17"/>
        </w:rPr>
        <w:t xml:space="preserve">Automatenwirtschaft    mit 60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 und</w:t>
      </w:r>
    </w:p>
    <w:p>
      <w:pPr>
        <w:ind w:left="420"/>
      </w:pPr>
      <w:r>
        <w:t xml:space="preserve">3. in keinem Prüfungsbereich von Teil 2 mit „ungenügend“.</w:t>
      </w:r>
    </w:p>
    <w:p>
      <w:r>
        <w:t xml:space="preserve">(3) Auf Antrag des Prüflings ist die Prüfung in einem der Prüfungsbereiche „Automatenwirtschaft“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der Ergebnisse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21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