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AutomAusbV — Dauer der Berufsausbildung</w:t>
      </w:r>
    </w:p>
    <w:p>
      <w:r>
        <w:rPr>
          <w:color w:val="555555"/>
          <w:sz w:val="18"/>
        </w:rPr>
        <w:t xml:space="preserve">Automatenfachmannausbildungsverordnung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 dauert drei Jahre.</w:t>
      </w:r>
    </w:p>
    <w:p>
      <w:r>
        <w:rPr>
          <w:color w:val="555555"/>
          <w:sz w:val="17"/>
        </w:rPr>
        <w:t xml:space="preserve">Zitiervorschlag: § 2 AutomAusbV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https://recht.nulegal.eu/gesetze/AutomAusbV/2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