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AutomAusbV — Prüfungsbereich Automatenbewirtschaftung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Automatenbewirtschaftung soll der Prüfling nachweisen, dass er in der Lage ist,</w:t>
      </w:r>
    </w:p>
    <w:p>
      <w:pPr>
        <w:ind w:left="420"/>
      </w:pPr>
      <w:r>
        <w:t xml:space="preserve">1. Kundenwünsche zu ermitteln, Maßnahmen zur Kundengewinnung und zur Kundenbindung vorzubereiten und umzusetzen,</w:t>
      </w:r>
    </w:p>
    <w:p>
      <w:pPr>
        <w:ind w:left="420"/>
      </w:pPr>
      <w:r>
        <w:t xml:space="preserve">2. den Bedarf an Waren und Ersatzteilen zu ermitteln und nach Verwendungszweck zusammenzustellen,</w:t>
      </w:r>
    </w:p>
    <w:p>
      <w:pPr>
        <w:ind w:left="420"/>
      </w:pPr>
      <w:r>
        <w:t xml:space="preserve">3. Kassierungen durchzuführen, Kassenbestände auszulesen und zu dokumentieren und Zahlungsmittel zu prüfen und</w:t>
      </w:r>
    </w:p>
    <w:p>
      <w:pPr>
        <w:ind w:left="420"/>
      </w:pPr>
      <w:r>
        <w:t xml:space="preserve">4. Automatenabrechnungen, Kassenabschlüsse und Soll-Ist-Vergleiche durchzuführen.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11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