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AutobBrVtrBELG</w:t>
      </w:r>
    </w:p>
    <w:p>
      <w:r>
        <w:rPr>
          <w:color w:val="555555"/>
          <w:sz w:val="18"/>
        </w:rPr>
        <w:t xml:space="preserve">Gesetz zum Vertrag vom 5. Februar 1979 zwischen der Bundesrepublik Deutschland und dem Königreich Belgien über den Bau und die Unterhaltung einer Autobahnbrücke über die Our bei Steinebrück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Anwendung des deutschen Umsatzsteuerrechts auf die in Artikel 11 Abs. 1 und 4 des Vertrages bezeichneten Umsätze ist die als belgisches Hoheitsgebiet geltende Baustelle einschließlich Bauwerk als Außengebiet anzusehen.</w:t>
      </w:r>
    </w:p>
    <w:p>
      <w:r>
        <w:t xml:space="preserve">(2) Für die Anwendung des deutschen Verbrauchsteuer- und Monopolrechts auf die in Artikel 11 Abs. 1 und 4 des Vertrages bezeichneten Warenbewegungen ist die als belgisches Hoheitsgebiet geltende Baustelle einschließlich Bauwerk als außerhalb des Erhebungs- oder Monopolgebietes befindlich anzusehen.</w:t>
      </w:r>
    </w:p>
    <w:p>
      <w:r>
        <w:t xml:space="preserve">(3) Die in Artikel 11 des Vertrages vorgesehenen steuerlichen Bestimmungen sind mit Wirkung vom 1. Januar 1978 anzuwenden.</w:t>
      </w:r>
    </w:p>
    <w:p>
      <w:r>
        <w:rPr>
          <w:color w:val="555555"/>
          <w:sz w:val="17"/>
        </w:rPr>
        <w:t xml:space="preserve">Zitiervorschlag: Art 2 AutobBrVtrBELG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https://recht.nulegal.eu/gesetze/AutobBrVtrBELG/2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