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AutoKflAusbV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Warenwirtschafts- und Werkstatt-prozesse mit    20 Prozent,</w:t>
      </w:r>
    </w:p>
    <w:p>
      <w:r>
        <w:rPr>
          <w:rFonts w:ascii="Courier New" w:hAnsi="Courier New"/>
          <w:sz w:val="17"/>
        </w:rPr>
        <w:t xml:space="preserve">Fahrzeugvertriebsprozesse und Finanzdienstleistungen mit    25 Prozent,</w:t>
      </w:r>
    </w:p>
    <w:p>
      <w:r>
        <w:rPr>
          <w:rFonts w:ascii="Courier New" w:hAnsi="Courier New"/>
          <w:sz w:val="17"/>
        </w:rPr>
        <w:t xml:space="preserve">Kaufmännische Unterstützungs-prozesse mit    25 Prozent,</w:t>
      </w:r>
    </w:p>
    <w:p>
      <w:r>
        <w:rPr>
          <w:rFonts w:ascii="Courier New" w:hAnsi="Courier New"/>
          <w:sz w:val="17"/>
        </w:rPr>
        <w:t xml:space="preserve">Kundendienstprozesse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„Fahrzeugvertriebsprozesse und Finanzdienstleistungen“, „Kaufmännische Unterstützungsprozesse“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