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AutoKflAusbV — Inhalt von Teil 2</w:t>
      </w:r>
    </w:p>
    <w:p>
      <w:r>
        <w:rPr>
          <w:color w:val="555555"/>
          <w:sz w:val="18"/>
        </w:rPr>
        <w:t xml:space="preserve">Automobilkaufleuteausbildungsverordnung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10 AutoKflAusbV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https://recht.nulegal.eu/gesetze/AutoKflAusbV/10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