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AuswVfG (Nordrhein-Westfalen) — Satzungsermächtigung</w:t>
      </w:r>
    </w:p>
    <w:p>
      <w:r>
        <w:rPr>
          <w:color w:val="555555"/>
          <w:sz w:val="18"/>
        </w:rPr>
        <w:t xml:space="preserve">Auswahlverfahrensgesetz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nähere Ausgestaltung des Auswahlverfahrens der Hochschulen regeln diese durch Satzung, die dem Ministerium für Wissenschaft und Forschung anzuzeigen ist.</w:t>
      </w:r>
    </w:p>
    <w:p>
      <w:r>
        <w:t xml:space="preserve">Artikel 2</w:t>
      </w:r>
    </w:p>
    <w:p>
      <w:r>
        <w:t xml:space="preserve">Artikel 3</w:t>
      </w:r>
    </w:p>
    <w:p>
      <w:r>
        <w:t xml:space="preserve">In-Kraft-Treten, Berichtspflicht</w:t>
      </w:r>
    </w:p>
    <w:p>
      <w:r>
        <w:t xml:space="preserve">(1) Dieses Gesetz tritt am 1. Januar 2005 in Kraft. Artikel 1, §§ 1 und 2 und Artikel 2 sind erstmals für das Zulassungsverfahren zum Wintersemester 2005/06 anzuwenden.</w:t>
      </w:r>
    </w:p>
    <w:p>
      <w:r>
        <w:t xml:space="preserve">(2) Die Landesregierung berichtet dem Landtag bis zum Ende des Jahres 2010 über die Notwendigkeit des Fortbestehens dieses Gesetzes.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Wissenschaft und Forschung</w:t>
      </w:r>
    </w:p>
    <w:p>
      <w:r>
        <w:rPr>
          <w:color w:val="555555"/>
          <w:sz w:val="17"/>
        </w:rPr>
        <w:t xml:space="preserve">Zitiervorschlag: § 3 AuswVfG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https://recht.nulegal.eu/gesetze/AuswVfG/3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