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AuswVfG (Nordrhein-Westfalen) — Ortswünsche</w:t>
      </w:r>
    </w:p>
    <w:p>
      <w:r>
        <w:rPr>
          <w:color w:val="555555"/>
          <w:sz w:val="18"/>
        </w:rPr>
        <w:t xml:space="preserve">Auswahlverfahrensgesetz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 den Bewerbungen für die Studienplätze gemäß § 32 Abs. 3 Nummer 1 und Nummer 3 Hochschulrahmengesetz sind jeweils mindestens ein Studienort und höchstens sechs Studienorte in einer Rangliste anzugeben.</w:t>
      </w:r>
    </w:p>
    <w:p>
      <w:r>
        <w:t xml:space="preserve">(2) Bei den Bewerbungen für die Studienplätze in den übrigen durch die Zentralstelle für die Vergabe von Studienplätzen zu vergebenden Quoten, insbesondere gemäß § 32 Abs. 3 Nummer 2 Hochschulrahmengesetz, sind gewünschte Studienorte ohne Begrenzung in einer Rangliste anzugeben.</w:t>
      </w:r>
    </w:p>
    <w:p>
      <w:r>
        <w:rPr>
          <w:color w:val="555555"/>
          <w:sz w:val="17"/>
        </w:rPr>
        <w:t xml:space="preserve">Zitiervorschlag: § 1 AuswVfG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https://recht.nulegal.eu/gesetze/AuswVfG/1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