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AuswV-AM (Bayern) — Anforderungsprofil für die zweite Qualifikationsebene</w:t>
      </w:r>
    </w:p>
    <w:p>
      <w:r>
        <w:rPr>
          <w:color w:val="555555"/>
          <w:sz w:val="18"/>
        </w:rPr>
        <w:t xml:space="preserve">Auswahlverfahrensverordnung-AM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Kriterien für die Bewertung der Bewerber und Bewerberinnen für den Vorbereitungsdienst der zweiten Qualifikationsebene sind:</w:t>
      </w:r>
    </w:p>
    <w:p>
      <w:r>
        <w:t xml:space="preserve">1. Persönliches Auftreten, Grundhaltung, spezifische Motivation der Berufswahl,</w:t>
      </w:r>
    </w:p>
    <w:p>
      <w:r>
        <w:t xml:space="preserve">2. Strukturiertes Denkvermögen und</w:t>
      </w:r>
    </w:p>
    <w:p>
      <w:r>
        <w:t xml:space="preserve">3. Kommunikationsfähigkeit.</w:t>
      </w:r>
    </w:p>
    <w:p>
      <w:r>
        <w:rPr>
          <w:color w:val="555555"/>
          <w:sz w:val="17"/>
        </w:rPr>
        <w:t xml:space="preserve">Zitiervorschlag: § 12 AuswV-AM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https://recht.nulegal.eu/gesetze/AuswV-AM/12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