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AuswSG — Erlaubnis zur Auswandererberatung</w:t>
      </w:r>
    </w:p>
    <w:p>
      <w:r>
        <w:rPr>
          <w:color w:val="555555"/>
          <w:sz w:val="18"/>
        </w:rPr>
        <w:t xml:space="preserve">Auswandererschutzgesetz</w:t>
      </w:r>
    </w:p>
    <w:p>
      <w:r>
        <w:rPr>
          <w:color w:val="555555"/>
          <w:sz w:val="18"/>
        </w:rPr>
        <w:t xml:space="preserve">Stand: 10.06.2019 (konsolidierte Textfassung, kein amtliches Inkrafttretensdatum)</w:t>
      </w:r>
    </w:p>
    <w:p>
      <w:r>
        <w:t xml:space="preserve">(1) Wer geschäftsmäßig Auskunft über die Aussichten der Auswanderung und über die Lebensverhältnisse im Einwanderungsland, insbesondere über die Arbeits- und Niederlassungsverhältnisse im Ausland oder in diesen Angelegenheiten Rat erteilen will, bedarf der Erlaubnis der zuständigen Behörde. Die Erlaubnis ist zu versagen, wenn Tatsachen die Annahme rechtfertigen, dass die antragstellende Person die für die Beratung erforderliche Zuverlässigkeit nicht besitzt, oder wenn die antragstellende Person die für die Beratung erforderliche Sachkunde nicht nachweist. Der Nachweis der Sachkunde gilt als erbracht, wenn die antragstellende Person fünf Jahre als unselbständiger Berater oder unselbständige Beraterin insbesondere bei einer in Absatz 2 genannten Auskunfts- oder Beratungsstelle tätig war. Die Erlaubnis kann unter Bedingungen erteilt und mit Auflagen verbunden werden; nachträgliche Auflagen sind zulässig; darauf ist in der Erlaubnis hinzuweisen. Die Erlaubnis wird von der zuständigen Stelle für das gesamte Bundesgebiet erteilt.</w:t>
      </w:r>
    </w:p>
    <w:p>
      <w:r>
        <w:t xml:space="preserve">(2) Für Auskunfts- oder Beratungsstellen von Körperschaften oder Anstalten des öffentlichen Rechts oder von Verbänden der Freien Wohlfahrtspflege, die sich die Fürsorge für Auswanderer und Auswanderinnen zur Aufgabe machen und deshalb bisher keiner Erlaubnis bedurften, gilt die Erlaubnisfreiheit bis zum Ablauf des 31. Dezember 2013. Für andere Stellen und Personen, die auf Grund einer bestehenden Erlaubnis Auswanderer beraten, erlischt die Erlaubnis mit Ablauf des 31. Dezember 2013.</w:t>
      </w:r>
    </w:p>
    <w:p>
      <w:r>
        <w:t xml:space="preserve">(3) Werden die in § 1 Absatz 1 Satz 1 Genannten von einer Niederlassung in einem anderen Mitgliedstaat der Europäischen Union oder einem anderen Vertragsstaat des Abkommens über den Europäischen Wirtschaftsraum aus in dem Geltungsbereich dieses Gesetzes vorübergehend selbständig tätig, bedürfen sie insoweit keiner Erlaubnis.</w:t>
      </w:r>
    </w:p>
    <w:p>
      <w:r>
        <w:t xml:space="preserve">(4) Die zuständige Behörde kann die nach Absatz 1 erteilte Erlaubnis zurücknehmen, wenn nachträglich bekannt wird, dass bei ihrer Erteilung Tatsachen vorgelegen haben, aus denen sich der Mangel der erforderlichen Zuverlässigkeit ergibt. Die Behörde kann die Erlaubnis widerrufen oder die Tätigkeit der in Absatz 2 bezeichneten Stellen verbieten, wenn nachträglich Tatsachen eintreten, aus denen sich der Mangel der erforderlichen Zuverlässigkeit ergibt, oder wenn eine Gewähr für eine sachkundige Beratung nicht gegeben ist.</w:t>
      </w:r>
    </w:p>
    <w:p>
      <w:r>
        <w:t xml:space="preserve">(5) Das Bundesministerium für Familie, Senioren, Frauen und Jugend wird ermächtigt, durch Rechtsverordnung, die nicht der Zustimmung des Bundesrates bedarf,</w:t>
      </w:r>
    </w:p>
    <w:p>
      <w:pPr>
        <w:ind w:left="420"/>
      </w:pPr>
      <w:r>
        <w:t xml:space="preserve">1. Ausnahmen von Absatz 1 Satz 1 zuzulassen, soweit dies zur Durchsetzung zwischenstaatlicher Vereinbarungen erforderlich ist,</w:t>
      </w:r>
    </w:p>
    <w:p>
      <w:pPr>
        <w:ind w:left="420"/>
      </w:pPr>
      <w:r>
        <w:t xml:space="preserve">2. näher zu bestimmen, welche Voraussetzungen geeignet sind, die Zuverlässigkeit und Sachkunde nach Absatz 1 Satz 2 zu begründen,</w:t>
      </w:r>
    </w:p>
    <w:p>
      <w:pPr>
        <w:ind w:left="420"/>
      </w:pPr>
      <w:r>
        <w:t xml:space="preserve">3. die Verwendung von Vordrucken zur Beantragung der Erlaubnis anzuordnen, die Gestaltung der Vordrucke durch Muster festzulegen und Vorgaben zu treffen, wie und in welcher Anzahl die Vordrucke auszufüllen sind.</w:t>
      </w:r>
    </w:p>
    <w:p>
      <w:r>
        <w:rPr>
          <w:color w:val="555555"/>
          <w:sz w:val="17"/>
        </w:rPr>
        <w:t xml:space="preserve">Zitiervorschlag: § 1 AuswSG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https://recht.nulegal.eu/gesetze/AuswSG/1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AuswSG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