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AuswGebV — Inkrafttreten</w:t>
      </w:r>
    </w:p>
    <w:p>
      <w:r>
        <w:rPr>
          <w:color w:val="555555"/>
          <w:sz w:val="18"/>
        </w:rPr>
        <w:t xml:space="preserve">Auswandererberatungsgebührenverordnung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2 AuswGebV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https://recht.nulegal.eu/gesetze/AuswGebV/2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