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AuswGebV — Gebührenerhebung</w:t>
      </w:r>
    </w:p>
    <w:p>
      <w:r>
        <w:rPr>
          <w:color w:val="555555"/>
          <w:sz w:val="18"/>
        </w:rPr>
        <w:t xml:space="preserve">Auswandererberatungsgebührenverordnung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Genehmigung der Auswandererberatung wird eine Gebühr von 150 Euro erhoben.</w:t>
      </w:r>
    </w:p>
    <w:p>
      <w:r>
        <w:t xml:space="preserve">(2) Die Entscheidung über Anträge von Beratungsstellen der Wohlfahrtsverbände und anderer anerkannter gemeinnütziger Einrichtungen ist gebührenfrei. Auslagen werden in diesen Fällen nicht erhoben.</w:t>
      </w:r>
    </w:p>
    <w:p>
      <w:r>
        <w:t xml:space="preserve">(3) § 15 des Verwaltungskostengesetzes bleibt unberührt.</w:t>
      </w:r>
    </w:p>
    <w:p>
      <w:r>
        <w:rPr>
          <w:color w:val="555555"/>
          <w:sz w:val="17"/>
        </w:rPr>
        <w:t xml:space="preserve">Zitiervorschlag: § 1 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