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AuswErlV — Inkrafttreten</w:t>
      </w:r>
    </w:p>
    <w:p>
      <w:r>
        <w:rPr>
          <w:color w:val="555555"/>
          <w:sz w:val="18"/>
        </w:rPr>
        <w:t xml:space="preserve">Auswandererberatungserlaubnisverordnung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5 AuswErlV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https://recht.nulegal.eu/gesetze/AuswErlV/5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