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AuswErlV — Mitteilungspflicht</w:t>
      </w:r>
    </w:p>
    <w:p>
      <w:r>
        <w:rPr>
          <w:color w:val="555555"/>
          <w:sz w:val="18"/>
        </w:rPr>
        <w:t xml:space="preserve">Auswandererberatungserlaubnisverordnung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Änderungen zu den nach den vorstehenden Vorschriften gemachten Angaben sind dem Bundesverwaltungsamt unverzüglich und unaufgefordert mitzuteilen.</w:t>
      </w:r>
    </w:p>
    <w:p>
      <w:r>
        <w:rPr>
          <w:color w:val="555555"/>
          <w:sz w:val="17"/>
        </w:rPr>
        <w:t xml:space="preserve">Zitiervorschlag: § 4 AuswErlV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https://recht.nulegal.eu/gesetze/AuswErlV/4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