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AuslZustV 2024</w:t>
      </w:r>
    </w:p>
    <w:p>
      <w:r>
        <w:rPr>
          <w:color w:val="555555"/>
          <w:sz w:val="18"/>
        </w:rPr>
        <w:t xml:space="preserve">Auslandszuständigkeitsverordnung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Auf Grund des § 113 Absatz 6 des Sozialgesetzbuchs Vierzehntes Buch – Soziale Entschädigung – vom 12. Dezember 2019 (BGBl. I S. 2652) verordnet das Bundesministerium für Arbeit und Soziales:</w:t>
      </w:r>
    </w:p>
    <w:p>
      <w:r>
        <w:rPr>
          <w:color w:val="555555"/>
          <w:sz w:val="17"/>
        </w:rPr>
        <w:t xml:space="preserve">Zitiervorschlag: Eingangsformel AuslZustV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https://recht.nulegal.eu/gesetze/AuslZustV%202024/eingangsformel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AuslZustV 2024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