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AuslZuschlV 2025 — Maßgebliche Dienstbezüge</w:t>
      </w:r>
    </w:p>
    <w:p>
      <w:r>
        <w:rPr>
          <w:color w:val="555555"/>
          <w:sz w:val="18"/>
        </w:rPr>
        <w:t xml:space="preserve">Auslandszuschlagsverordnung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Maßgebliche Dienstbezüge für die Berechnung des erhöhten Auslandszuschlags nach § 53 Absatz 6 Satz 1 und 2 des Bundesbesoldungsgesetzes sind:</w:t>
      </w:r>
    </w:p>
    <w:p>
      <w:pPr>
        <w:ind w:left="420"/>
      </w:pPr>
      <w:r>
        <w:t xml:space="preserve">1. das Grundgehalt,</w:t>
      </w:r>
    </w:p>
    <w:p>
      <w:pPr>
        <w:ind w:left="420"/>
      </w:pPr>
      <w:r>
        <w:t xml:space="preserve">2. Familienzuschlag bis zur Stufe 1,</w:t>
      </w:r>
    </w:p>
    <w:p>
      <w:pPr>
        <w:ind w:left="420"/>
      </w:pPr>
      <w:r>
        <w:t xml:space="preserve">3. Amts- und Stellenzulagen sowie</w:t>
      </w:r>
    </w:p>
    <w:p>
      <w:pPr>
        <w:ind w:left="420"/>
      </w:pPr>
      <w:r>
        <w:t xml:space="preserve">4. der Auslandszuschlag für die Empfängerin oder den Empfänger von Auslandsdienstbezügen und für die erste nach § 53 Absatz 4 Nummer 1 oder Nummer 3 des Bundesbesoldungsgesetzes berücksichtigungsfähige Person.</w:t>
      </w:r>
    </w:p>
    <w:p>
      <w:r>
        <w:rPr>
          <w:color w:val="555555"/>
          <w:sz w:val="17"/>
        </w:rPr>
        <w:t xml:space="preserve">Zitiervorschlag: § 9 AuslZuschlV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https://recht.nulegal.eu/gesetze/AuslZuschlV%202025/9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