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AuslZuschlV 2010</w:t>
      </w:r>
    </w:p>
    <w:p>
      <w:r>
        <w:rPr>
          <w:color w:val="555555"/>
          <w:sz w:val="18"/>
        </w:rPr>
        <w:t xml:space="preserve">Auslandszuschlagsverordnung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Auf Grund des § 53 Absatz 7 des Bundesbesoldungsgesetzes, der durch Artikel 2 Nummer 38 des Gesetzes vom 5. Februar 2009 (BGBl. I S. 160) neu gefasst worden ist, verordnet das Auswärtige Amt im Einvernehmen mit dem Bundesministerium des Innern, dem Bundesministerium der Finanzen und dem Bundesministerium der Verteidigung:</w:t>
      </w:r>
    </w:p>
    <w:p>
      <w:r>
        <w:rPr>
          <w:color w:val="555555"/>
          <w:sz w:val="17"/>
        </w:rPr>
        <w:t xml:space="preserve">Zitiervorschlag: Eingangsformel AuslZuschlV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https://recht.nulegal.eu/gesetze/AuslZuschlV%202010/eingangsformel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