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AuslWBGDV 9 — Land Berlin</w:t>
      </w:r>
    </w:p>
    <w:p>
      <w:r>
        <w:rPr>
          <w:color w:val="555555"/>
          <w:sz w:val="18"/>
        </w:rPr>
        <w:t xml:space="preserve">Neunte Durchführungsverordnung zum Bereinigungsgesetz für deutsche Auslandsbonds (Zweite Ergänzung des Verzeichnisses der Auslandsbonds)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§ 14 des Dritten Überleitungsgesetzes vom 4. Januar 1952 (Bundesgesetzbl. I S. 1) in Verbindung mit § 78 des Bereinigungsgesetzes für deutsche Auslandsbonds gilt diese Rechtsverordnung auch im Land Berlin.</w:t>
      </w:r>
    </w:p>
    <w:p>
      <w:r>
        <w:rPr>
          <w:color w:val="555555"/>
          <w:sz w:val="17"/>
        </w:rPr>
        <w:t xml:space="preserve">Zitiervorschlag: § 3 AuslWBGDV 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https://recht.nulegal.eu/gesetze/AuslWBGDV%209/3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