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AuslWBGDV 7</w:t>
      </w:r>
    </w:p>
    <w:p>
      <w:r>
        <w:rPr>
          <w:color w:val="555555"/>
          <w:sz w:val="18"/>
        </w:rPr>
        <w:t xml:space="preserve">Siebente Durchführungsverordnung (Stichtag) zum Bereinigungsgesetz für deutsche Auslandsbonds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Abs. 2 Nr. 2 des Bereinigungsgesetzes für deutsche Auslandsbonds vom 25. August 1952 (Bundesgesetzbl. I S. 553)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AuslWBGDV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https://recht.nulegal.eu/gesetze/AuslWBGDV%207/eingangsformel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AuslWBGDV 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