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AuslWBGDV 5 — Land Berlin</w:t>
      </w:r>
    </w:p>
    <w:p>
      <w:r>
        <w:rPr>
          <w:color w:val="555555"/>
          <w:sz w:val="18"/>
        </w:rPr>
        <w:t xml:space="preserve">Fünfte Durchführungsverordnung zum Bereinigungsgesetz für deutsche Auslandsbonds (Verwaltungsabgabe und Vorschußverpflichtung der Aussteller)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14 des Gesetzes über die Stellung des Landes Berlin im Finanzsystem des Bundes (Drittes Überleitungsgesetz) vom 4. Januar 1952 (Bundesgesetzbl. I S. 1) in Verbindung mit § 78 des Gesetzes gilt diese Rechtsverordnung auch im Land Berlin.</w:t>
      </w:r>
    </w:p>
    <w:p>
      <w:r>
        <w:rPr>
          <w:color w:val="555555"/>
          <w:sz w:val="17"/>
        </w:rPr>
        <w:t xml:space="preserve">Zitiervorschlag: § 8 AuslWBGDV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https://recht.nulegal.eu/gesetze/AuslWBGDV%205/8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AuslWBGDV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