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AuslWBGDV 3</w:t>
      </w:r>
    </w:p>
    <w:p>
      <w:r>
        <w:rPr>
          <w:color w:val="555555"/>
          <w:sz w:val="18"/>
        </w:rPr>
        <w:t xml:space="preserve">Dritte Durchführungsverordnung zum Bereinigungsgesetz für deutsche Auslandsbonds (Vereinigtes Königreich von Großbritannien und Nordirland)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Abs. 5, des § 24 Abs. 4, des § 35 Abs. 2 und des § 76 des Bereinigungsgesetzes für deutsche Auslandsbonds vom 25. August 1952 (Bundesgesetzbl. I S. 553) verordnet die Bundesregierung:</w:t>
      </w:r>
    </w:p>
    <w:p>
      <w:r>
        <w:rPr>
          <w:color w:val="555555"/>
          <w:sz w:val="17"/>
        </w:rPr>
        <w:t xml:space="preserve">Zitiervorschlag: Eingangsformel AuslWBGDV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