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AuslWBGDV 2</w:t>
      </w:r>
    </w:p>
    <w:p>
      <w:r>
        <w:rPr>
          <w:color w:val="555555"/>
          <w:sz w:val="18"/>
        </w:rPr>
        <w:t xml:space="preserve">Zweite Durchführungsverordnung zum Bereinigungsgesetz für deutsche Auslandsbonds (Vereinigte Staaten von Amerika)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6, des § 9 Abs. 5, des § 23 Abs. 5, des § 24 Abs. 4, des § 35 Abs. 2 und des § 76 des Bereinigungsgesetzes für deutsche Auslandsbonds vom 25. August 1952 (Bundesgesetzbl. I S. 553) verordnet die Bundesregierung:</w:t>
      </w:r>
    </w:p>
    <w:p>
      <w:r>
        <w:rPr>
          <w:color w:val="555555"/>
          <w:sz w:val="17"/>
        </w:rPr>
        <w:t xml:space="preserve">Zitiervorschlag: Eingangsformel AuslWBGDV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AuslWBGDV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