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AuslWBGDV 13 — Anrechnung früherer Leistungen</w:t>
      </w:r>
    </w:p>
    <w:p>
      <w:r>
        <w:rPr>
          <w:color w:val="555555"/>
          <w:sz w:val="18"/>
        </w:rPr>
        <w:t xml:space="preserve">Dreizehnte Durchführungsverordnung zum Bereinigungsgesetz für deutsche Auslandsbonds (Endgültige Verwaltungsabgabe)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Verwaltungsabgabe nach § 1 werden die Beträge angerechnet, die als Abschlag auf die Verwaltungsabgabe für das Bereinigungsverfahren nach § 1 der Fünften Durchführungsverordnung vom 28. Juli 1953 geleistet worden sind.</w:t>
      </w:r>
    </w:p>
    <w:p>
      <w:r>
        <w:rPr>
          <w:color w:val="555555"/>
          <w:sz w:val="17"/>
        </w:rPr>
        <w:t xml:space="preserve">Zitiervorschlag: § 2 AuslWBGDV 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https://recht.nulegal.eu/gesetze/AuslWBGDV%2013/2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