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AuslWBGDV 12</w:t>
      </w:r>
    </w:p>
    <w:p>
      <w:r>
        <w:rPr>
          <w:color w:val="555555"/>
          <w:sz w:val="18"/>
        </w:rPr>
        <w:t xml:space="preserve">Zwölfte Durchführungsverordnung zum Bereinigungsgesetz für deutsche Auslandsbonds (Selbständige Anmeldung von Zinsscheinen)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Abs. 3, des § 23 Abs. 5 und des § 76 Abs. 1 in Verbindung mit § 76 Abs. 3 des Bereinigungsgesetzes für deutsche Auslandsbonds vom 25. August 1952 (Bundesgesetzbl. I S. 553) verordnet die Bundesregierung:</w:t>
      </w:r>
    </w:p>
    <w:p>
      <w:r>
        <w:rPr>
          <w:color w:val="555555"/>
          <w:sz w:val="17"/>
        </w:rPr>
        <w:t xml:space="preserve">Zitiervorschlag: Eingangsformel AuslWBGDV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https://recht.nulegal.eu/gesetze/AuslWBGDV%2012/eingangsformel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