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AuslWBGDV 11 — Land Berlin</w:t>
      </w:r>
    </w:p>
    <w:p>
      <w:r>
        <w:rPr>
          <w:color w:val="555555"/>
          <w:sz w:val="18"/>
        </w:rPr>
        <w:t xml:space="preserve">Elfte Durchführungsverordnung zum Bereinigungsgesetz für deutsche Auslandsbonds (Dritte Verlängerung der Anmeldefrist)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§ 78 des Bereinigungsgesetzes für deutsche Auslandsbonds auch im Land Berlin.</w:t>
      </w:r>
    </w:p>
    <w:p>
      <w:r>
        <w:rPr>
          <w:color w:val="555555"/>
          <w:sz w:val="17"/>
        </w:rPr>
        <w:t xml:space="preserve">Zitiervorschlag: § 2 AuslWBGDV 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