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AuslWBGDV 10 — Inkrafttreten</w:t>
      </w:r>
    </w:p>
    <w:p>
      <w:r>
        <w:rPr>
          <w:color w:val="555555"/>
          <w:sz w:val="18"/>
        </w:rPr>
        <w:t xml:space="preserve">Zehnte Durchführungsverordnung zum Bereinigungsgesetz für deutsche Auslandsbonds (Zweite Verlängerung der Anmeldefrist)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AuslWBGDV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