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AuslWBG — Anmeldung beim Auslandsbevollmächtigten</w:t>
      </w:r>
    </w:p>
    <w:p>
      <w:r>
        <w:rPr>
          <w:color w:val="555555"/>
          <w:sz w:val="18"/>
        </w:rPr>
        <w:t xml:space="preserve">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Auslandsbonds, deren Anerkennung nach § 3 Abs. 1 Nr. 1 (Auslandsstücke) beansprucht wird, sind bei dem zuständigen Auslandsbevollmächtigten für die Bereinigung deutscher Auslandsbonds (§ 8) anzumelden.</w:t>
      </w:r>
    </w:p>
    <w:p>
      <w:r>
        <w:t xml:space="preserve">(2) Für die Anmeldung und das Prüfungsverfahren gelten die §§ 21 bis 36.</w:t>
      </w:r>
    </w:p>
    <w:p>
      <w:r>
        <w:rPr>
          <w:color w:val="555555"/>
          <w:sz w:val="17"/>
        </w:rPr>
        <w:t xml:space="preserve">Zitiervorschlag: § 7 AuslWBG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