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AuslWBG — Vereinbarte Schiedsgerichte</w:t>
      </w:r>
    </w:p>
    <w:p>
      <w:r>
        <w:rPr>
          <w:color w:val="555555"/>
          <w:sz w:val="18"/>
        </w:rPr>
        <w:t xml:space="preserve">Bereinigungsgesetz für deutsche Auslandsbonds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ein schiedsrichterliches Verfahren, dem der Anmelder und der Aussteller sich unterworfen haben, gilt § 33 sinngemäß.</w:t>
      </w:r>
    </w:p>
    <w:p>
      <w:r>
        <w:rPr>
          <w:color w:val="555555"/>
          <w:sz w:val="17"/>
        </w:rPr>
        <w:t xml:space="preserve">Zitiervorschlag: § 34 AuslWBG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https://recht.nulegal.eu/gesetze/AuslWBG/34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