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AuslWBEntschG — Kürzungsrecht des Ausstellers nach Leistung</w:t>
      </w:r>
    </w:p>
    <w:p>
      <w:r>
        <w:rPr>
          <w:color w:val="555555"/>
          <w:sz w:val="18"/>
        </w:rPr>
        <w:t xml:space="preserve">Auslandsbonds-Entschädigungsgesetz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Aussteller kann sein Kürzungsrecht (§ 54 Abs. 2 Satz 1 in Verbindung mit § 53 Abs. 2 AuslWBG) auch geltend machen, wenn er auf die Entschädigungsansprüche für Tilgungsstücke bereits geleistet hat; der Empfänger der Leistung haftet nach Maßgabe des § 820 des Bürgerlichen Gesetzbuchs. Ist vor der Geltendmachung des Kürzungsrechts über den Entschädigungsanspruch verfügt und die Entschädigung an den neuen Berechtigten geleistet worden, so haftet neben diesem auch der in § 54 AuslWBG bezeichnete Entschädigungsberechtigte für die Beträge, zu deren Rückzahlung der Empfänger der Leistung nach Satz 1 verpflichtet ist.</w:t>
      </w:r>
    </w:p>
    <w:p>
      <w:r>
        <w:rPr>
          <w:color w:val="555555"/>
          <w:sz w:val="17"/>
        </w:rPr>
        <w:t xml:space="preserve">Zitiervorschlag: § 13 AuslWBEntschG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https://recht.nulegal.eu/gesetze/AuslWBEntschG/13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