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AuslWBEntschG — Eintragung von Entschädigungsansprüchen in die Schuldbücher</w:t>
      </w:r>
    </w:p>
    <w:p>
      <w:r>
        <w:rPr>
          <w:color w:val="555555"/>
          <w:sz w:val="18"/>
        </w:rPr>
        <w:t xml:space="preserve">Auslandsbonds-Entschädigungsgesetz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Entschädigungsansprüche, die sich gegen den Bund richten, sind als Schuldbuchforderungen in das Bundesschuldbuch einzutragen, wenn das Regelungsangebot die Ausgabe von Umtauschstücken vorsieht und keine Schuldverschreibungen nach § 9 Abs. 1 zu erteilen sind. Schuldverschreibungen gegen Löschung der Forderungen werden nicht ausgereicht. Im Übrigen gilt das Bundesschuldenwesengesetz.</w:t>
      </w:r>
    </w:p>
    <w:p>
      <w:r>
        <w:t xml:space="preserve">(2) Durch Landesrecht kann bestimmt werden, daß Entschädigungsansprüche, die sich gegen ein Land richten, unter den in Absatz 1 Satz 1 genannten Voraussetzungen als Schuldbuchforderungen in das Landesschuldbuch einzutragen sind.</w:t>
      </w:r>
    </w:p>
    <w:p>
      <w:r>
        <w:rPr>
          <w:color w:val="555555"/>
          <w:sz w:val="17"/>
        </w:rPr>
        <w:t xml:space="preserve">Zitiervorschlag: § 10 AuslWBEntschG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https://recht.nulegal.eu/gesetze/AuslWBEntschG/10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