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AuslVerbindlG</w:t>
      </w:r>
    </w:p>
    <w:p>
      <w:r>
        <w:rPr>
          <w:color w:val="555555"/>
          <w:sz w:val="18"/>
        </w:rPr>
        <w:t xml:space="preserve">Gesetz über Zahlungsverbindlichkeiten gegenüber dem Ausland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wird eine Konversionskasse für deutsche Auslandsschulden errichtet. Die Konversionskasse ist eine Körperschaft des öffentlichen Rechts; sie steht unter Aufsicht des Bundesministers der Finanzen ... . Der Bundesminister der Finanzen bestellt die verantwortlichen Organe.</w:t>
      </w:r>
    </w:p>
    <w:p>
      <w:r>
        <w:t xml:space="preserve">(2) Die übrigen Rechtsverhältnisse der Konversionskasse regelt die Satzung, die der Bundesminister der Finanzen feststellt.</w:t>
      </w:r>
    </w:p>
    <w:p>
      <w:r>
        <w:t xml:space="preserve">(3) Von den Steuern, die das Reich, die Länder und die Gemeinden (Gemeindeverbände) vom Einkommen, vom Vermögen sowie vom Gewerbebetrieb erheben, ist die Konversionskasse befreit.</w:t>
      </w:r>
    </w:p>
    <w:p>
      <w:r>
        <w:rPr>
          <w:color w:val="555555"/>
          <w:sz w:val="17"/>
        </w:rPr>
        <w:t xml:space="preserve">Zitiervorschlag: § 2 AuslVerbindlG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https://recht.nulegal.eu/gesetze/AuslVerbindlG/2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