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AuslStreitkrNotWG</w:t>
      </w:r>
    </w:p>
    <w:p>
      <w:r>
        <w:rPr>
          <w:color w:val="555555"/>
          <w:sz w:val="18"/>
        </w:rPr>
        <w:t xml:space="preserve">Gesetz zu dem Notenwechsel vom 29. April 1998 über die Rechtsstellung der dänischen, griechischen, italienischen, luxemburgischen, norwegischen, portugiesischen, spanischen und türkischen Streitkräfte in der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AuslStreitkrNotWG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https://recht.nulegal.eu/gesetze/AuslStreitkrNotWG/eingangsformel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