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AuslSchuldAbkAG</w:t>
      </w:r>
    </w:p>
    <w:p>
      <w:r>
        <w:rPr>
          <w:color w:val="555555"/>
          <w:sz w:val="18"/>
        </w:rPr>
        <w:t xml:space="preserve">Gesetz zur Ausführung des Abkommens vom 27. Februar 1953 über deutsche Auslandsschulden</w:t>
      </w:r>
    </w:p>
    <w:p>
      <w:r>
        <w:rPr>
          <w:color w:val="555555"/>
          <w:sz w:val="18"/>
        </w:rPr>
        <w:t xml:space="preserve">Stand: 10.06.2019 (konsolidierte Textfassung, kein amtliches Inkrafttretensdatum)</w:t>
      </w:r>
    </w:p>
    <w:p>
      <w:r>
        <w:t xml:space="preserve">Die §§ 27 und 28 gelten entsprechend für gerichtliche Entscheidungen über eine Schuld, die im Geltungsbereich dieses Gesetzes nach dem 8. Mai 1945, jedoch vor dem Inkrafttreten des Abkommens ergangen sind.</w:t>
      </w:r>
    </w:p>
    <w:p>
      <w:r>
        <w:rPr>
          <w:color w:val="555555"/>
          <w:sz w:val="17"/>
        </w:rPr>
        <w:t xml:space="preserve">Zitiervorschlag: § 29 AuslSchuldAbkAG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https://recht.nulegal.eu/gesetze/AuslSchuldAbkAG/29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AuslSchuldAbkAG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