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AuslRZV (Brandenburg) — Inkrafttreten, Außerkrafttreten</w:t>
      </w:r>
    </w:p>
    <w:p>
      <w:r>
        <w:rPr>
          <w:color w:val="555555"/>
          <w:sz w:val="18"/>
        </w:rPr>
        <w:t xml:space="preserve">Ausländerrechtszuständigkeitsverordnung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ersten Tag des zweiten auf die Verkündung folgenden Kalendermonats in Kraft. Gleichzeitig tritt die Ausländer- und Asyl-Zuständigkeitsverordnung vom 16. September 1996 ( GVBl. II S. 748), die zuletzt durch Artikel 35 des Gesetzes vom 23. September 2008 (GVBl. I S. 202, 210) geändert worden ist, außer Kraft.</w:t>
      </w:r>
    </w:p>
    <w:p>
      <w:r>
        <w:t xml:space="preserve">Einzelnorm</w:t>
      </w:r>
    </w:p>
    <w:p>
      <w:r>
        <w:t xml:space="preserve">Potsdam, den 9. Juli 2019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7 AuslRZV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https://recht.nulegal.eu/gesetze/AuslRZV/7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