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AuslRZV (Brandenburg) — Übergangsvorschrift</w:t>
      </w:r>
    </w:p>
    <w:p>
      <w:r>
        <w:rPr>
          <w:color w:val="555555"/>
          <w:sz w:val="18"/>
        </w:rPr>
        <w:t xml:space="preserve">Ausländerrechtszuständigkeitsverordnung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vor dem 8. Mai 2024 bereits eingeleitete Verfahren zur Ausweisung gemäß § 53 des Aufenthaltsgesetzes sowie Verfahren zur Feststellung des Verlustes der Freizügigkeit gemäß § 6 Absatz 1 des Gesetzes über die allgemeine Freizügigkeit von Unionsbürgern bleibt bis zur Bestands- oder Rechtskraft der Entscheidung die bisherige Ausländerbehörde weiter zuständig.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AuslRZV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https://recht.nulegal.eu/gesetze/AuslRZV/6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