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AuslRZV (Brandenburg) — Ausländerbehörden</w:t>
      </w:r>
    </w:p>
    <w:p>
      <w:r>
        <w:rPr>
          <w:color w:val="555555"/>
          <w:sz w:val="18"/>
        </w:rPr>
        <w:t xml:space="preserve">Ausländerrechtszuständigkeitsverordnung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Ausländerbehörden nach § 71 Absatz 1 Satz 1 des Aufenthaltsgesetzes sind, soweit nichts</w:t>
      </w:r>
    </w:p>
    <w:p>
      <w:r>
        <w:t xml:space="preserve">Anderes geregelt ist,</w:t>
      </w:r>
    </w:p>
    <w:p>
      <w:r>
        <w:t xml:space="preserve">die kreisfreien Städte und Landkreise als Kreisordnungsbehörden sowie die Große kreisangehörige Stadt Schwedt/Oder als örtliche Ordnungsbehörde. Sie nehmen die Aufgaben der Ausländerbehörden als Pflichtaufgaben zur Erfüllung nach Weisung wahr,</w:t>
      </w:r>
    </w:p>
    <w:p>
      <w:r>
        <w:t xml:space="preserve">die Zentrale Ausländerbehörde für die in § 3 genannten Aufgaben.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AuslRZV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https://recht.nulegal.eu/gesetze/AuslRZV/1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