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AuslPflVG 2024 — Grenzversicherung</w:t>
      </w:r>
    </w:p>
    <w:p>
      <w:r>
        <w:rPr>
          <w:color w:val="555555"/>
          <w:sz w:val="18"/>
        </w:rPr>
        <w:t xml:space="preserve">Auslandsfahrzeug-Pflichtversicherungsgesetz</w:t>
      </w:r>
    </w:p>
    <w:p>
      <w:r>
        <w:rPr>
          <w:color w:val="555555"/>
          <w:sz w:val="18"/>
        </w:rPr>
        <w:t xml:space="preserve">Stand: 17.04.2024 (konsolidierte Textfassung, kein amtliches Inkrafttretensdatum)</w:t>
      </w:r>
    </w:p>
    <w:p>
      <w:r>
        <w:t xml:space="preserve">(1) Eine Grenzversicherung muss den für die Versicherung von Fahrzeugen mit gewöhnlichem oder regelmäßigem Standort im Inland geltenden Bestimmungen des Pflichtversicherungsgesetzes und der Rechtsverordnung nach § 4 Absatz 1 des Pflichtversicherungsgesetzes über Inhalt und Umfang des Versicherungsschutzes, einschließlich der Mindestversicherungssummen, entsprechen.</w:t>
      </w:r>
    </w:p>
    <w:p>
      <w:r>
        <w:t xml:space="preserve">(2) Auf die Grenzversicherung sind die §§ 3, 3a, 5 Absatz 1 und 2 Satz 1 und Absatz 4 sowie § 5b Absatz 1 des Pflichtversicherungsgesetzes entsprechend anzuwenden.</w:t>
      </w:r>
    </w:p>
    <w:p>
      <w:r>
        <w:rPr>
          <w:color w:val="555555"/>
          <w:sz w:val="17"/>
        </w:rPr>
        <w:t xml:space="preserve">Zitiervorschlag: § 5 AuslPflVG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https://recht.nulegal.eu/gesetze/AuslPflVG%202024/5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