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AuslPflVG 2024 — Ausnahmen vom Verbot des Gebrauchs nicht versicherter Fahrzeuge</w:t>
      </w:r>
    </w:p>
    <w:p>
      <w:r>
        <w:rPr>
          <w:color w:val="555555"/>
          <w:sz w:val="18"/>
        </w:rPr>
        <w:t xml:space="preserve">Auslandsfahrzeug-Pflichtversicherungsgesetz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§ 3 ist nicht anzuwenden</w:t>
      </w:r>
    </w:p>
    <w:p>
      <w:pPr>
        <w:ind w:left="420"/>
      </w:pPr>
      <w:r>
        <w:t xml:space="preserve">1. auf ein Fahrzeug, das gemäß Artikel 5 Absatz 1 der Richtlinie 2009/103/EG von der Versicherungspflicht befreit ist,</w:t>
      </w:r>
    </w:p>
    <w:p>
      <w:pPr>
        <w:ind w:left="420"/>
      </w:pPr>
      <w:r>
        <w:t xml:space="preserve">2. auf Fahrzeuge ausländischer Streitkräfte, die zum Aufenthalt im Geltungsbereich dieses Gesetzes befugt sind,</w:t>
      </w:r>
    </w:p>
    <w:p>
      <w:pPr>
        <w:ind w:left="420"/>
      </w:pPr>
      <w:r>
        <w:t xml:space="preserve">3. auf Fahrzeuge, die durch Rechtsverordnung nach § 16 Absatz 2 Nummer 1 oder durch Ausnahmegenehmigung nach § 17 vom Verbot des Gebrauchs ausgenommen sind,</w:t>
      </w:r>
    </w:p>
    <w:p>
      <w:pPr>
        <w:ind w:left="420"/>
      </w:pPr>
      <w:r>
        <w:t xml:space="preserve">4. auf Fahrzeuge, die ausschließlich in einem inländischen Gebiet im Sinne des § 6 Absatz 2 des Pflichtversicherungsgesetzes gebraucht werden.</w:t>
      </w:r>
    </w:p>
    <w:p>
      <w:r>
        <w:rPr>
          <w:color w:val="555555"/>
          <w:sz w:val="17"/>
        </w:rPr>
        <w:t xml:space="preserve">Zitiervorschlag: § 4 AuslPflVG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https://recht.nulegal.eu/gesetze/AuslPflVG%202024/4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