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AuslPflVG 2024 — Verbot des Gebrauchs nicht versicherter Fahrzeuge</w:t>
      </w:r>
    </w:p>
    <w:p>
      <w:r>
        <w:rPr>
          <w:color w:val="555555"/>
          <w:sz w:val="18"/>
        </w:rPr>
        <w:t xml:space="preserve">Auslandsfahrzeug-Pflichtversicherungsgesetz</w:t>
      </w:r>
    </w:p>
    <w:p>
      <w:r>
        <w:rPr>
          <w:color w:val="555555"/>
          <w:sz w:val="18"/>
        </w:rPr>
        <w:t xml:space="preserve">Stand: 17.04.2024 (konsolidierte Textfassung, kein amtliches Inkrafttretensdatum)</w:t>
      </w:r>
    </w:p>
    <w:p>
      <w:r>
        <w:t xml:space="preserve">(1) Ein Fahrzeug im Sinne des Artikels 1 Nummer 1 der Richtlinie 2009/103/EG darf im Inland nur gebraucht werden, wenn die durch den Gebrauch des Fahrzeugs verursachten Schäden gedeckt sind</w:t>
      </w:r>
    </w:p>
    <w:p>
      <w:pPr>
        <w:ind w:left="420"/>
      </w:pPr>
      <w:r>
        <w:t xml:space="preserve">1. durch eine Grenzversicherung nach § 5 Absatz 1,</w:t>
      </w:r>
    </w:p>
    <w:p>
      <w:pPr>
        <w:ind w:left="420"/>
      </w:pPr>
      <w:r>
        <w:t xml:space="preserve">2. durch eine Haftpflichtversicherung, die ein anderer Staat des Europäischen Wirtschaftsraums vorgeschrieben hat</w:t>
      </w:r>
    </w:p>
    <w:p>
      <w:pPr>
        <w:ind w:left="780"/>
      </w:pPr>
      <w:r>
        <w:t xml:space="preserve">a) im Falle eines Fahrzeugs mit gewöhnlichem Standort in einem Staat des Europäischen Wirtschaftsraums nach Artikel 3 Absatz 1 der Richtlinie 2009/103/EG oder</w:t>
      </w:r>
    </w:p>
    <w:p>
      <w:pPr>
        <w:ind w:left="780"/>
      </w:pPr>
      <w:r>
        <w:t xml:space="preserve">b) im Falle eines Fahrzeugs mit gewöhnlichem Standort in einem Drittstaat nach Artikel 7 der Richtlinie 2009/103/EG oder</w:t>
      </w:r>
    </w:p>
    <w:p>
      <w:pPr>
        <w:ind w:left="420"/>
      </w:pPr>
      <w:r>
        <w:t xml:space="preserve">3. durch eine sonstige ausländische Haftpflichtversicherung, wenn auch eine Schadenregulierung durch die jeweiligen nationalen Versicherungsbüros in allen Staaten des Europäischen Wirtschaftsraums gemäß § 9 Absatz 1 gewährleistet ist.</w:t>
      </w:r>
    </w:p>
    <w:p>
      <w:r>
        <w:t xml:space="preserve">(2) Ein Fahrzeug, das kein Fahrzeug im Sinne des Artikels 1 Nummer 1 der Richtlinie 2009/103/EG ist, oder ein Fahrzeug, das gemäß Artikel 5 Absatz 2 bis 5 der Richtlinie 2009/103/EG in demjenigen Staat des Europäischen Wirtschaftsraums, in dem es seinen gewöhnlichen Standort hat, von der Versicherungspflicht befreit ist, darf im Inland nur gebraucht werden, wenn die durch den Gebrauch des Fahrzeugs verursachten Schäden gedeckt sind</w:t>
      </w:r>
    </w:p>
    <w:p>
      <w:pPr>
        <w:ind w:left="420"/>
      </w:pPr>
      <w:r>
        <w:t xml:space="preserve">1. durch eine Grenzversicherung nach § 5 Absatz 1,</w:t>
      </w:r>
    </w:p>
    <w:p>
      <w:pPr>
        <w:ind w:left="420"/>
      </w:pPr>
      <w:r>
        <w:t xml:space="preserve">2. durch eine Haftpflichtversicherung aus einem anderen Staat des Europäischen Wirtschaftsraums, wenn der Versicherungsvertrag auch die Schäden, die sich im Inland ereignen, nach den hier jeweils geltenden Vorschriften über die Haftpflichtversicherung für Fahrzeuge deckt, oder</w:t>
      </w:r>
    </w:p>
    <w:p>
      <w:pPr>
        <w:ind w:left="420"/>
      </w:pPr>
      <w:r>
        <w:t xml:space="preserve">3. durch eine ausländische Haftpflichtversicherung, wenn auch eine Schadenregulierung durch das Deutsche Büro Grüne Karte für Schadensfälle im Inland gemäß § 9 Absatz 2 gewährleistet ist.</w:t>
      </w:r>
    </w:p>
    <w:p>
      <w:r>
        <w:t xml:space="preserve">(3) Abweichend von den Absätzen 1 und 2 ist der Gebrauch eines Fahrzeugs bei einer Motorsportveranstaltung oder Motorsportaktivität im Inland, einschließlich Rennen, Wettbewerben, Trainings, Tests und Demonstrationen, in einem hierfür abgegrenzten Gebiet mit Zugangsbeschränkungen nur zulässig, wenn</w:t>
      </w:r>
    </w:p>
    <w:p>
      <w:pPr>
        <w:ind w:left="420"/>
      </w:pPr>
      <w:r>
        <w:t xml:space="preserve">1. für das Fahrzeug eine Grenzversicherung nach § 5 Absatz 1 besteht und dieser Gebrauch des Fahrzeugs nicht im Versicherungsvertrag vereinbarte Obliegenheiten verletzt,</w:t>
      </w:r>
    </w:p>
    <w:p>
      <w:pPr>
        <w:ind w:left="420"/>
      </w:pPr>
      <w:r>
        <w:t xml:space="preserve">2. dieser Gebrauch des Fahrzeugs von einer Versicherung nach Absatz 1 Nummer 2 oder Absatz 2 Nummer 2 gedeckt ist oder</w:t>
      </w:r>
    </w:p>
    <w:p>
      <w:pPr>
        <w:ind w:left="420"/>
      </w:pPr>
      <w:r>
        <w:t xml:space="preserve">3. für diesen Gebrauch des Fahrzeugs Versicherungsschutz nach Maßgabe des § 5d des Pflichtversicherungsgesetzes besteht.</w:t>
      </w:r>
    </w:p>
    <w:p>
      <w:r>
        <w:t xml:space="preserve">(4) Es ist verboten, einen nach den Absätzen 1 bis 3 unzulässigen Gebrauch zu gestatten.</w:t>
      </w:r>
    </w:p>
    <w:p>
      <w:r>
        <w:rPr>
          <w:color w:val="555555"/>
          <w:sz w:val="17"/>
        </w:rPr>
        <w:t xml:space="preserve">Zitiervorschlag: § 3 AuslPflVG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https://recht.nulegal.eu/gesetze/AuslPflVG%202024/3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